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544" w:rsidRDefault="00353544">
      <w:bookmarkStart w:id="0" w:name="_GoBack"/>
      <w:bookmarkEnd w:id="0"/>
    </w:p>
    <w:p w:rsidR="00D91967" w:rsidRDefault="00D91967"/>
    <w:p w:rsidR="00D91967" w:rsidRDefault="00D91967"/>
    <w:p w:rsidR="00D91967" w:rsidRDefault="00D91967"/>
    <w:p w:rsidR="00D91967" w:rsidRDefault="00D91967" w:rsidP="00D91967">
      <w:pPr>
        <w:autoSpaceDE w:val="0"/>
        <w:autoSpaceDN w:val="0"/>
        <w:adjustRightInd w:val="0"/>
        <w:spacing w:after="0" w:line="240" w:lineRule="auto"/>
        <w:rPr>
          <w:rFonts w:ascii="Calibri" w:hAnsi="Calibri" w:cs="Calibri"/>
          <w:color w:val="5B9CD6"/>
          <w:sz w:val="36"/>
          <w:szCs w:val="36"/>
        </w:rPr>
      </w:pPr>
      <w:r>
        <w:rPr>
          <w:rFonts w:ascii="Calibri" w:hAnsi="Calibri" w:cs="Calibri"/>
          <w:color w:val="5B9CD6"/>
          <w:sz w:val="36"/>
          <w:szCs w:val="36"/>
        </w:rPr>
        <w:t>RICLASSIFICAZIONE DELLO STATO PATRIMONIALE</w:t>
      </w:r>
    </w:p>
    <w:p w:rsidR="00D91967" w:rsidRDefault="00D91967" w:rsidP="00D91967">
      <w:pPr>
        <w:autoSpaceDE w:val="0"/>
        <w:autoSpaceDN w:val="0"/>
        <w:adjustRightInd w:val="0"/>
        <w:spacing w:after="0" w:line="240" w:lineRule="auto"/>
        <w:rPr>
          <w:rFonts w:ascii="Calibri" w:hAnsi="Calibri" w:cs="Calibri"/>
          <w:color w:val="5B9CD6"/>
          <w:sz w:val="36"/>
          <w:szCs w:val="36"/>
        </w:rPr>
      </w:pPr>
      <w:r>
        <w:rPr>
          <w:rFonts w:ascii="Calibri" w:hAnsi="Calibri" w:cs="Calibri"/>
          <w:color w:val="5B9CD6"/>
          <w:sz w:val="36"/>
          <w:szCs w:val="36"/>
        </w:rPr>
        <w:t>ALL’1/1/2017</w:t>
      </w:r>
    </w:p>
    <w:p w:rsidR="00D91967" w:rsidRDefault="00D91967" w:rsidP="00D91967">
      <w:pPr>
        <w:rPr>
          <w:rFonts w:ascii="Calibri" w:hAnsi="Calibri" w:cs="Calibri"/>
          <w:color w:val="404040"/>
          <w:sz w:val="32"/>
          <w:szCs w:val="32"/>
        </w:rPr>
      </w:pPr>
      <w:r>
        <w:rPr>
          <w:rFonts w:ascii="Calibri" w:hAnsi="Calibri" w:cs="Calibri"/>
          <w:color w:val="404040"/>
          <w:sz w:val="32"/>
          <w:szCs w:val="32"/>
        </w:rPr>
        <w:t>Applicazione del D.LGS. 118/2011 – principio applicato 4.3</w:t>
      </w:r>
    </w:p>
    <w:p w:rsidR="00D91967" w:rsidRDefault="00D91967" w:rsidP="00D91967">
      <w:pPr>
        <w:rPr>
          <w:rFonts w:ascii="Calibri" w:hAnsi="Calibri" w:cs="Calibri"/>
          <w:color w:val="404040"/>
          <w:sz w:val="32"/>
          <w:szCs w:val="32"/>
        </w:rPr>
      </w:pPr>
    </w:p>
    <w:p w:rsidR="00D91967" w:rsidRDefault="00D91967" w:rsidP="00D91967">
      <w:pPr>
        <w:rPr>
          <w:rFonts w:ascii="Calibri" w:hAnsi="Calibri" w:cs="Calibri"/>
          <w:color w:val="404040"/>
          <w:sz w:val="32"/>
          <w:szCs w:val="32"/>
        </w:rPr>
      </w:pPr>
    </w:p>
    <w:p w:rsidR="00D91967" w:rsidRDefault="00D91967" w:rsidP="00D91967">
      <w:pPr>
        <w:rPr>
          <w:rFonts w:ascii="Calibri" w:hAnsi="Calibri" w:cs="Calibri"/>
          <w:color w:val="404040"/>
          <w:sz w:val="32"/>
          <w:szCs w:val="32"/>
        </w:rPr>
      </w:pPr>
    </w:p>
    <w:p w:rsidR="00D91967" w:rsidRDefault="00D91967" w:rsidP="00D91967">
      <w:pPr>
        <w:jc w:val="center"/>
        <w:rPr>
          <w:rFonts w:ascii="Calibri" w:hAnsi="Calibri" w:cs="Calibri"/>
          <w:color w:val="404040"/>
          <w:sz w:val="56"/>
          <w:szCs w:val="56"/>
        </w:rPr>
      </w:pPr>
      <w:r w:rsidRPr="00D91967">
        <w:rPr>
          <w:rFonts w:ascii="Calibri" w:hAnsi="Calibri" w:cs="Calibri"/>
          <w:color w:val="404040"/>
          <w:sz w:val="56"/>
          <w:szCs w:val="56"/>
        </w:rPr>
        <w:t xml:space="preserve">Comune di </w:t>
      </w:r>
      <w:r w:rsidR="00D537F4">
        <w:rPr>
          <w:rFonts w:ascii="Calibri" w:hAnsi="Calibri" w:cs="Calibri"/>
          <w:color w:val="404040"/>
          <w:sz w:val="56"/>
          <w:szCs w:val="56"/>
        </w:rPr>
        <w:t>Fara Novarese</w:t>
      </w:r>
    </w:p>
    <w:p w:rsidR="00D91967" w:rsidRDefault="00D91967" w:rsidP="00D91967">
      <w:pPr>
        <w:jc w:val="center"/>
        <w:rPr>
          <w:rFonts w:ascii="Calibri" w:hAnsi="Calibri" w:cs="Calibri"/>
          <w:color w:val="404040"/>
          <w:sz w:val="32"/>
          <w:szCs w:val="32"/>
        </w:rPr>
      </w:pPr>
      <w:r>
        <w:rPr>
          <w:rFonts w:ascii="Calibri" w:hAnsi="Calibri" w:cs="Calibri"/>
          <w:color w:val="404040"/>
          <w:sz w:val="32"/>
          <w:szCs w:val="32"/>
        </w:rPr>
        <w:t xml:space="preserve">Provincia di Novara </w:t>
      </w:r>
    </w:p>
    <w:p w:rsidR="00D91967" w:rsidRDefault="00D91967" w:rsidP="00D91967">
      <w:pPr>
        <w:jc w:val="center"/>
        <w:rPr>
          <w:rFonts w:ascii="Calibri" w:hAnsi="Calibri" w:cs="Calibri"/>
          <w:color w:val="404040"/>
          <w:sz w:val="32"/>
          <w:szCs w:val="32"/>
        </w:rPr>
      </w:pPr>
    </w:p>
    <w:p w:rsidR="00D91967" w:rsidRDefault="00D91967" w:rsidP="00D91967">
      <w:pPr>
        <w:jc w:val="center"/>
        <w:rPr>
          <w:rFonts w:ascii="Calibri" w:hAnsi="Calibri" w:cs="Calibri"/>
          <w:color w:val="404040"/>
          <w:sz w:val="32"/>
          <w:szCs w:val="32"/>
        </w:rPr>
      </w:pPr>
    </w:p>
    <w:p w:rsidR="00D91967" w:rsidRDefault="00D91967" w:rsidP="00D91967">
      <w:pPr>
        <w:jc w:val="center"/>
        <w:rPr>
          <w:rFonts w:ascii="Calibri" w:hAnsi="Calibri" w:cs="Calibri"/>
          <w:color w:val="404040"/>
          <w:sz w:val="32"/>
          <w:szCs w:val="32"/>
        </w:rPr>
      </w:pPr>
    </w:p>
    <w:p w:rsidR="00D91967" w:rsidRDefault="00D91967" w:rsidP="00D91967">
      <w:pPr>
        <w:jc w:val="center"/>
        <w:rPr>
          <w:rFonts w:ascii="Calibri" w:hAnsi="Calibri" w:cs="Calibri"/>
          <w:color w:val="404040"/>
          <w:sz w:val="32"/>
          <w:szCs w:val="32"/>
        </w:rPr>
      </w:pPr>
    </w:p>
    <w:p w:rsidR="00D91967" w:rsidRDefault="00D91967" w:rsidP="00D91967">
      <w:pPr>
        <w:jc w:val="center"/>
        <w:rPr>
          <w:rFonts w:ascii="Calibri" w:hAnsi="Calibri" w:cs="Calibri"/>
          <w:color w:val="404040"/>
          <w:sz w:val="32"/>
          <w:szCs w:val="32"/>
        </w:rPr>
      </w:pPr>
    </w:p>
    <w:p w:rsidR="00D91967" w:rsidRDefault="00D91967" w:rsidP="00D91967">
      <w:pPr>
        <w:jc w:val="center"/>
        <w:rPr>
          <w:rFonts w:ascii="Calibri" w:hAnsi="Calibri" w:cs="Calibri"/>
          <w:color w:val="404040"/>
          <w:sz w:val="32"/>
          <w:szCs w:val="32"/>
        </w:rPr>
      </w:pPr>
    </w:p>
    <w:p w:rsidR="00D91967" w:rsidRDefault="00D91967" w:rsidP="00D91967">
      <w:pPr>
        <w:jc w:val="center"/>
        <w:rPr>
          <w:rFonts w:ascii="Calibri" w:hAnsi="Calibri" w:cs="Calibri"/>
          <w:color w:val="404040"/>
          <w:sz w:val="32"/>
          <w:szCs w:val="32"/>
        </w:rPr>
      </w:pPr>
    </w:p>
    <w:p w:rsidR="00D91967" w:rsidRDefault="00D91967" w:rsidP="00D91967">
      <w:pPr>
        <w:jc w:val="center"/>
        <w:rPr>
          <w:rFonts w:ascii="Calibri" w:hAnsi="Calibri" w:cs="Calibri"/>
          <w:color w:val="404040"/>
          <w:sz w:val="32"/>
          <w:szCs w:val="32"/>
        </w:rPr>
      </w:pPr>
    </w:p>
    <w:p w:rsidR="00D91967" w:rsidRDefault="00D91967" w:rsidP="00D91967">
      <w:pPr>
        <w:jc w:val="center"/>
        <w:rPr>
          <w:rFonts w:ascii="Calibri" w:hAnsi="Calibri" w:cs="Calibri"/>
          <w:color w:val="404040"/>
          <w:sz w:val="32"/>
          <w:szCs w:val="32"/>
        </w:rPr>
      </w:pPr>
    </w:p>
    <w:p w:rsidR="00D91967" w:rsidRDefault="00D91967" w:rsidP="00D91967">
      <w:pPr>
        <w:jc w:val="center"/>
        <w:rPr>
          <w:rFonts w:ascii="Calibri" w:hAnsi="Calibri" w:cs="Calibri"/>
          <w:color w:val="404040"/>
          <w:sz w:val="32"/>
          <w:szCs w:val="32"/>
        </w:rPr>
      </w:pPr>
    </w:p>
    <w:p w:rsidR="00D91967" w:rsidRDefault="00D91967" w:rsidP="00D91967">
      <w:pPr>
        <w:jc w:val="center"/>
        <w:rPr>
          <w:rFonts w:ascii="Calibri" w:hAnsi="Calibri" w:cs="Calibri"/>
          <w:color w:val="404040"/>
          <w:sz w:val="32"/>
          <w:szCs w:val="32"/>
        </w:rPr>
      </w:pPr>
    </w:p>
    <w:p w:rsidR="00D91967" w:rsidRDefault="00D91967" w:rsidP="00D91967">
      <w:pPr>
        <w:jc w:val="center"/>
        <w:rPr>
          <w:rFonts w:ascii="Calibri" w:hAnsi="Calibri" w:cs="Calibri"/>
          <w:color w:val="404040"/>
          <w:sz w:val="32"/>
          <w:szCs w:val="32"/>
        </w:rPr>
      </w:pPr>
    </w:p>
    <w:p w:rsidR="00D91967" w:rsidRDefault="00D91967" w:rsidP="00D91967">
      <w:pPr>
        <w:jc w:val="center"/>
        <w:rPr>
          <w:rFonts w:ascii="Calibri" w:hAnsi="Calibri" w:cs="Calibri"/>
          <w:color w:val="404040"/>
          <w:sz w:val="32"/>
          <w:szCs w:val="32"/>
        </w:rPr>
      </w:pPr>
    </w:p>
    <w:p w:rsidR="00D91967" w:rsidRDefault="00D91967" w:rsidP="00D91967">
      <w:pPr>
        <w:autoSpaceDE w:val="0"/>
        <w:autoSpaceDN w:val="0"/>
        <w:adjustRightInd w:val="0"/>
        <w:spacing w:after="0" w:line="276" w:lineRule="auto"/>
        <w:jc w:val="both"/>
        <w:rPr>
          <w:rFonts w:ascii="Times New Roman" w:hAnsi="Times New Roman" w:cs="Times New Roman"/>
          <w:color w:val="000000"/>
          <w:sz w:val="24"/>
          <w:szCs w:val="24"/>
        </w:rPr>
      </w:pPr>
    </w:p>
    <w:p w:rsidR="00D91967" w:rsidRDefault="00D91967" w:rsidP="00D91967">
      <w:pPr>
        <w:autoSpaceDE w:val="0"/>
        <w:autoSpaceDN w:val="0"/>
        <w:adjustRightInd w:val="0"/>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Il principio applicato 4.3 allegato al D.LGS. 118/2011 descrive al punto 9 le attività cui sono tenute tutti i Comuni a partire dall’esercizio 2016. Sono “esclusi”:</w:t>
      </w:r>
    </w:p>
    <w:p w:rsidR="00D91967" w:rsidRDefault="00D91967" w:rsidP="00D91967">
      <w:pPr>
        <w:autoSpaceDE w:val="0"/>
        <w:autoSpaceDN w:val="0"/>
        <w:adjustRightInd w:val="0"/>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gli Enti Sperimentali che hanno già effettuato tali operazioni nel 2015;</w:t>
      </w:r>
    </w:p>
    <w:p w:rsidR="00D91967" w:rsidRDefault="00D91967" w:rsidP="00D91967">
      <w:pPr>
        <w:autoSpaceDE w:val="0"/>
        <w:autoSpaceDN w:val="0"/>
        <w:adjustRightInd w:val="0"/>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 gli Enti con popolazione inferiori a 5000 abitanti che hanno adottato una delibera di consiglio di rinvio al 2017 di tali adempimenti collegati alla contabilità economica.</w:t>
      </w:r>
    </w:p>
    <w:p w:rsidR="00D91967" w:rsidRPr="00D91967" w:rsidRDefault="00D91967" w:rsidP="00D91967">
      <w:pPr>
        <w:autoSpaceDE w:val="0"/>
        <w:autoSpaceDN w:val="0"/>
        <w:adjustRightInd w:val="0"/>
        <w:spacing w:after="0" w:line="276" w:lineRule="auto"/>
        <w:jc w:val="both"/>
        <w:rPr>
          <w:rFonts w:ascii="Times New Roman,Bold" w:hAnsi="Times New Roman,Bold" w:cs="Times New Roman,Bold"/>
          <w:b/>
          <w:bCs/>
          <w:color w:val="000000"/>
          <w:sz w:val="24"/>
          <w:szCs w:val="24"/>
        </w:rPr>
      </w:pPr>
      <w:r>
        <w:rPr>
          <w:rFonts w:ascii="Times New Roman" w:hAnsi="Times New Roman" w:cs="Times New Roman"/>
          <w:color w:val="000000"/>
          <w:sz w:val="24"/>
          <w:szCs w:val="24"/>
        </w:rPr>
        <w:t xml:space="preserve">La </w:t>
      </w:r>
      <w:r>
        <w:rPr>
          <w:rFonts w:ascii="Times New Roman,Bold" w:hAnsi="Times New Roman,Bold" w:cs="Times New Roman,Bold"/>
          <w:b/>
          <w:bCs/>
          <w:color w:val="000000"/>
          <w:sz w:val="24"/>
          <w:szCs w:val="24"/>
        </w:rPr>
        <w:t xml:space="preserve">prima attività </w:t>
      </w:r>
      <w:r>
        <w:rPr>
          <w:rFonts w:ascii="Times New Roman" w:hAnsi="Times New Roman" w:cs="Times New Roman"/>
          <w:color w:val="000000"/>
          <w:sz w:val="24"/>
          <w:szCs w:val="24"/>
        </w:rPr>
        <w:t xml:space="preserve">richiesta per l’adozione della nuova contabilità è la </w:t>
      </w:r>
      <w:r>
        <w:rPr>
          <w:rFonts w:ascii="Times New Roman,Bold" w:hAnsi="Times New Roman,Bold" w:cs="Times New Roman,Bold"/>
          <w:b/>
          <w:bCs/>
          <w:color w:val="000000"/>
          <w:sz w:val="24"/>
          <w:szCs w:val="24"/>
        </w:rPr>
        <w:t>riclassificazione delle voci dello stato patrimoniale chiuso il 31 dicembre dell’anno precedente</w:t>
      </w:r>
      <w:r>
        <w:rPr>
          <w:rFonts w:ascii="Times New Roman" w:hAnsi="Times New Roman" w:cs="Times New Roman"/>
          <w:color w:val="000000"/>
          <w:sz w:val="24"/>
          <w:szCs w:val="24"/>
        </w:rPr>
        <w:t>(2015) nel rispetto del DPR</w:t>
      </w:r>
      <w:r>
        <w:rPr>
          <w:rFonts w:ascii="Times New Roman,Bold" w:hAnsi="Times New Roman,Bold" w:cs="Times New Roman,Bold"/>
          <w:b/>
          <w:bCs/>
          <w:color w:val="000000"/>
          <w:sz w:val="24"/>
          <w:szCs w:val="24"/>
        </w:rPr>
        <w:t xml:space="preserve"> </w:t>
      </w:r>
      <w:r>
        <w:rPr>
          <w:rFonts w:ascii="Times New Roman" w:hAnsi="Times New Roman" w:cs="Times New Roman"/>
          <w:color w:val="000000"/>
          <w:sz w:val="24"/>
          <w:szCs w:val="24"/>
        </w:rPr>
        <w:t>194/1996, secondo l’articolazione prevista dallo stato patrimoniale allegato al presente decreto.</w:t>
      </w:r>
    </w:p>
    <w:p w:rsidR="00D91967" w:rsidRDefault="00D91967" w:rsidP="00D91967">
      <w:pPr>
        <w:autoSpaceDE w:val="0"/>
        <w:autoSpaceDN w:val="0"/>
        <w:adjustRightInd w:val="0"/>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 tal fine è necessario riclassificare le singole voci dell’inventario secondo il piano dei conti patrimoniale.</w:t>
      </w:r>
    </w:p>
    <w:p w:rsidR="00D91967" w:rsidRPr="00D91967" w:rsidRDefault="00D91967" w:rsidP="00D91967">
      <w:pPr>
        <w:autoSpaceDE w:val="0"/>
        <w:autoSpaceDN w:val="0"/>
        <w:adjustRightInd w:val="0"/>
        <w:spacing w:after="0" w:line="276" w:lineRule="auto"/>
        <w:jc w:val="both"/>
        <w:rPr>
          <w:rFonts w:ascii="Times New Roman,Bold" w:hAnsi="Times New Roman,Bold" w:cs="Times New Roman,Bold"/>
          <w:b/>
          <w:bCs/>
          <w:color w:val="000000"/>
          <w:sz w:val="24"/>
          <w:szCs w:val="24"/>
        </w:rPr>
      </w:pPr>
      <w:r>
        <w:rPr>
          <w:rFonts w:ascii="Times New Roman" w:hAnsi="Times New Roman" w:cs="Times New Roman"/>
          <w:color w:val="000000"/>
          <w:sz w:val="24"/>
          <w:szCs w:val="24"/>
        </w:rPr>
        <w:t xml:space="preserve">La </w:t>
      </w:r>
      <w:r>
        <w:rPr>
          <w:rFonts w:ascii="Times New Roman,Bold" w:hAnsi="Times New Roman,Bold" w:cs="Times New Roman,Bold"/>
          <w:b/>
          <w:bCs/>
          <w:color w:val="000000"/>
          <w:sz w:val="24"/>
          <w:szCs w:val="24"/>
        </w:rPr>
        <w:t xml:space="preserve">seconda attività </w:t>
      </w:r>
      <w:r>
        <w:rPr>
          <w:rFonts w:ascii="Times New Roman" w:hAnsi="Times New Roman" w:cs="Times New Roman"/>
          <w:color w:val="000000"/>
          <w:sz w:val="24"/>
          <w:szCs w:val="24"/>
        </w:rPr>
        <w:t>richiesta consiste nell’</w:t>
      </w:r>
      <w:r>
        <w:rPr>
          <w:rFonts w:ascii="Times New Roman,Bold" w:hAnsi="Times New Roman,Bold" w:cs="Times New Roman,Bold"/>
          <w:b/>
          <w:bCs/>
          <w:color w:val="000000"/>
          <w:sz w:val="24"/>
          <w:szCs w:val="24"/>
        </w:rPr>
        <w:t xml:space="preserve">applicazione dei criteri di valutazione dell’attivo e del passivo </w:t>
      </w:r>
      <w:r>
        <w:rPr>
          <w:rFonts w:ascii="Times New Roman" w:hAnsi="Times New Roman" w:cs="Times New Roman"/>
          <w:color w:val="000000"/>
          <w:sz w:val="24"/>
          <w:szCs w:val="24"/>
        </w:rPr>
        <w:t>previsti dal principio applicato della contabilità economico patrimoniale all’inventario e</w:t>
      </w:r>
      <w:r>
        <w:rPr>
          <w:rFonts w:ascii="Times New Roman,Bold" w:hAnsi="Times New Roman,Bold" w:cs="Times New Roman,Bold"/>
          <w:b/>
          <w:bCs/>
          <w:color w:val="000000"/>
          <w:sz w:val="24"/>
          <w:szCs w:val="24"/>
        </w:rPr>
        <w:t xml:space="preserve"> </w:t>
      </w:r>
      <w:r>
        <w:rPr>
          <w:rFonts w:ascii="Times New Roman" w:hAnsi="Times New Roman" w:cs="Times New Roman"/>
          <w:color w:val="000000"/>
          <w:sz w:val="24"/>
          <w:szCs w:val="24"/>
        </w:rPr>
        <w:t>allo stato patrimoniale riclassificato.</w:t>
      </w:r>
    </w:p>
    <w:p w:rsidR="00D91967" w:rsidRDefault="00D91967" w:rsidP="00D91967">
      <w:pPr>
        <w:autoSpaceDE w:val="0"/>
        <w:autoSpaceDN w:val="0"/>
        <w:adjustRightInd w:val="0"/>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 tal fine, si predispone una tabella che, per ciascuna delle voci dell’inventario e dello stato patrimoniale riclassificato, affianca gli importi di chiusura del precedente esercizio, gli importi attribuiti a seguito del processo di rivalutazione e le differenze di valutazione, negative e positive.</w:t>
      </w:r>
    </w:p>
    <w:p w:rsidR="00D91967" w:rsidRDefault="00D91967" w:rsidP="00D91967">
      <w:pPr>
        <w:autoSpaceDE w:val="0"/>
        <w:autoSpaceDN w:val="0"/>
        <w:adjustRightInd w:val="0"/>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I prospetti riguardanti l’inventario e lo stato patrimoniale al 1° gennaio dell’esercizio di avvio della nuova contabilità, riclassificati e rivalutati, nel rispetto dei principi di cui al presente allegato, con l’indicazione delle differenze di rivalutazione, sono oggetto di approvazione del Consiglio in sede di approvazione del rendiconto dell’esercizio di avvio della contabilità economico patrimoniale, unitariamente ad un prospetto che evidenzia il raccordo tra la vecchia e la nuova classificazione.</w:t>
      </w:r>
    </w:p>
    <w:p w:rsidR="00D91967" w:rsidRDefault="00D91967" w:rsidP="00D91967">
      <w:pPr>
        <w:autoSpaceDE w:val="0"/>
        <w:autoSpaceDN w:val="0"/>
        <w:adjustRightInd w:val="0"/>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Considerato che si ridetermina il patrimonio netto dell’ente, si ritiene opportuna l’approvazione da parte del Consiglio.</w:t>
      </w:r>
    </w:p>
    <w:p w:rsidR="00D91967" w:rsidRDefault="00D91967" w:rsidP="00D91967">
      <w:pPr>
        <w:autoSpaceDE w:val="0"/>
        <w:autoSpaceDN w:val="0"/>
        <w:adjustRightInd w:val="0"/>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All’avvio della contabilità economico patrimoniale armonizzata, le prime scritture sono quelle di apertura dei conti riclassificati secondo la nuova articolazione dello stato patrimoniale, con gli importi indicati nello stato patrimoniale di chiusura del precedente esercizio.</w:t>
      </w:r>
    </w:p>
    <w:p w:rsidR="00D91967" w:rsidRDefault="00D91967" w:rsidP="00D91967">
      <w:pPr>
        <w:autoSpaceDE w:val="0"/>
        <w:autoSpaceDN w:val="0"/>
        <w:adjustRightInd w:val="0"/>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Le scritture immediatamente successive riguardano la rilevazione delle differenze di valutazione.</w:t>
      </w:r>
    </w:p>
    <w:p w:rsidR="00D91967" w:rsidRDefault="00D91967" w:rsidP="00D91967">
      <w:pPr>
        <w:autoSpaceDE w:val="0"/>
        <w:autoSpaceDN w:val="0"/>
        <w:adjustRightInd w:val="0"/>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Alcune voci dell’attivo e del passivo devono essere rivalutati, altre devono essere svalutate. Tali operazioni devono essere registrate anche nel Libro dei beni ammortizzabili.</w:t>
      </w:r>
    </w:p>
    <w:p w:rsidR="00D91967" w:rsidRDefault="00D91967" w:rsidP="00D91967">
      <w:pPr>
        <w:autoSpaceDE w:val="0"/>
        <w:autoSpaceDN w:val="0"/>
        <w:adjustRightInd w:val="0"/>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Dopo la registrazione delle rettifiche di valutazione, si procede alle tradizioni scritture di “ripresa” delle rimanenze e dei risconti attivi e passivi registrati nell’esercizio precedente, a quello in corso appena iniziato e all’avvio delle scritture di esercizio, integrate alla contabilità finanziaria.</w:t>
      </w:r>
    </w:p>
    <w:p w:rsidR="00D91967" w:rsidRDefault="00D91967" w:rsidP="00D91967">
      <w:pPr>
        <w:autoSpaceDE w:val="0"/>
        <w:autoSpaceDN w:val="0"/>
        <w:adjustRightInd w:val="0"/>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Il valore di eventuali beni patrimoniali per i quali non è stato possibile completare il processo di valutazione nel primo stato patrimoniale di apertura, secondo la disciplina del presente principio, in quanto in corso di ricognizione o in attesa di perizia, può essere adeguato nel corso della gestione tramite scritture esclusive della contabilità economico-patrimoniale. L’attività di ricognizione straordinaria del patrimonio, e la conseguente rideterminazione del valore del patrimonio, deve in ogni caso concludersi entro il secondo esercizio dall’entrata in vigore della contabilità </w:t>
      </w:r>
      <w:proofErr w:type="spellStart"/>
      <w:r>
        <w:rPr>
          <w:rFonts w:ascii="Times New Roman" w:hAnsi="Times New Roman" w:cs="Times New Roman"/>
          <w:color w:val="000000"/>
          <w:sz w:val="24"/>
          <w:szCs w:val="24"/>
        </w:rPr>
        <w:t>economicopatrimoniale</w:t>
      </w:r>
      <w:proofErr w:type="spellEnd"/>
      <w:r>
        <w:rPr>
          <w:rFonts w:ascii="Times New Roman" w:hAnsi="Times New Roman" w:cs="Times New Roman"/>
          <w:color w:val="000000"/>
          <w:sz w:val="24"/>
          <w:szCs w:val="24"/>
        </w:rPr>
        <w:t xml:space="preserve"> (entro l’esercizio 201</w:t>
      </w:r>
      <w:r w:rsidR="00A43C12">
        <w:rPr>
          <w:rFonts w:ascii="Times New Roman" w:hAnsi="Times New Roman" w:cs="Times New Roman"/>
          <w:color w:val="000000"/>
          <w:sz w:val="24"/>
          <w:szCs w:val="24"/>
        </w:rPr>
        <w:t>8</w:t>
      </w:r>
      <w:r>
        <w:rPr>
          <w:rFonts w:ascii="Times New Roman" w:hAnsi="Times New Roman" w:cs="Times New Roman"/>
          <w:color w:val="000000"/>
          <w:sz w:val="24"/>
          <w:szCs w:val="24"/>
        </w:rPr>
        <w:t>, esclusi gli enti che hanno partecipato alla sperimentazione);</w:t>
      </w:r>
    </w:p>
    <w:p w:rsidR="00D91967" w:rsidRDefault="00D91967" w:rsidP="00D91967">
      <w:pPr>
        <w:autoSpaceDE w:val="0"/>
        <w:autoSpaceDN w:val="0"/>
        <w:adjustRightInd w:val="0"/>
        <w:spacing w:after="0" w:line="276" w:lineRule="auto"/>
        <w:jc w:val="both"/>
        <w:rPr>
          <w:rFonts w:ascii="Times New Roman" w:hAnsi="Times New Roman" w:cs="Times New Roman"/>
          <w:color w:val="000000"/>
          <w:sz w:val="24"/>
          <w:szCs w:val="24"/>
        </w:rPr>
      </w:pPr>
    </w:p>
    <w:p w:rsidR="00D91967" w:rsidRDefault="00D91967" w:rsidP="00D91967">
      <w:pPr>
        <w:autoSpaceDE w:val="0"/>
        <w:autoSpaceDN w:val="0"/>
        <w:adjustRightInd w:val="0"/>
        <w:spacing w:after="0" w:line="276" w:lineRule="auto"/>
        <w:rPr>
          <w:rFonts w:ascii="Times New Roman" w:hAnsi="Times New Roman" w:cs="Times New Roman"/>
          <w:sz w:val="24"/>
          <w:szCs w:val="24"/>
        </w:rPr>
      </w:pPr>
      <w:r>
        <w:rPr>
          <w:rFonts w:ascii="Times New Roman" w:hAnsi="Times New Roman" w:cs="Times New Roman"/>
          <w:sz w:val="24"/>
          <w:szCs w:val="24"/>
        </w:rPr>
        <w:t>Nella Relazione sulla gestione allegata al primo rendiconto riguardante il primo esercizio di adozione della contabilità economico patrimoniale, si dà conto:</w:t>
      </w:r>
    </w:p>
    <w:p w:rsidR="00D91967" w:rsidRPr="00D91967" w:rsidRDefault="00D91967" w:rsidP="00D91967">
      <w:pPr>
        <w:pStyle w:val="Paragrafoelenco"/>
        <w:numPr>
          <w:ilvl w:val="0"/>
          <w:numId w:val="1"/>
        </w:numPr>
        <w:autoSpaceDE w:val="0"/>
        <w:autoSpaceDN w:val="0"/>
        <w:adjustRightInd w:val="0"/>
        <w:spacing w:after="0" w:line="276" w:lineRule="auto"/>
        <w:rPr>
          <w:rFonts w:ascii="Times New Roman" w:hAnsi="Times New Roman" w:cs="Times New Roman"/>
          <w:sz w:val="24"/>
          <w:szCs w:val="24"/>
        </w:rPr>
      </w:pPr>
      <w:r w:rsidRPr="00D91967">
        <w:rPr>
          <w:rFonts w:ascii="Times New Roman" w:hAnsi="Times New Roman" w:cs="Times New Roman"/>
          <w:sz w:val="24"/>
          <w:szCs w:val="24"/>
        </w:rPr>
        <w:lastRenderedPageBreak/>
        <w:t>delle principali differenze tra il primo Stato Patrimoniale di apertura e l’ultimo stato</w:t>
      </w:r>
      <w:r>
        <w:rPr>
          <w:rFonts w:ascii="Times New Roman" w:hAnsi="Times New Roman" w:cs="Times New Roman"/>
          <w:sz w:val="24"/>
          <w:szCs w:val="24"/>
        </w:rPr>
        <w:t xml:space="preserve"> </w:t>
      </w:r>
      <w:r w:rsidRPr="00D91967">
        <w:rPr>
          <w:rFonts w:ascii="Times New Roman" w:hAnsi="Times New Roman" w:cs="Times New Roman"/>
          <w:sz w:val="24"/>
          <w:szCs w:val="24"/>
        </w:rPr>
        <w:t>patrimoniale predisposto secondo il precedente ordinamento contabile, fornendo</w:t>
      </w:r>
      <w:r>
        <w:rPr>
          <w:rFonts w:ascii="Times New Roman" w:hAnsi="Times New Roman" w:cs="Times New Roman"/>
          <w:sz w:val="24"/>
          <w:szCs w:val="24"/>
        </w:rPr>
        <w:t xml:space="preserve"> </w:t>
      </w:r>
      <w:r w:rsidRPr="00D91967">
        <w:rPr>
          <w:rFonts w:ascii="Times New Roman" w:hAnsi="Times New Roman" w:cs="Times New Roman"/>
          <w:sz w:val="24"/>
          <w:szCs w:val="24"/>
        </w:rPr>
        <w:t>informazioni circa la riconciliazione delle poste rilevanti e sugli effetti derivanti</w:t>
      </w:r>
      <w:r>
        <w:rPr>
          <w:rFonts w:ascii="Times New Roman" w:hAnsi="Times New Roman" w:cs="Times New Roman"/>
          <w:sz w:val="24"/>
          <w:szCs w:val="24"/>
        </w:rPr>
        <w:t xml:space="preserve"> </w:t>
      </w:r>
      <w:r w:rsidRPr="00D91967">
        <w:rPr>
          <w:rFonts w:ascii="Times New Roman" w:hAnsi="Times New Roman" w:cs="Times New Roman"/>
          <w:sz w:val="24"/>
          <w:szCs w:val="24"/>
        </w:rPr>
        <w:t>dall’applicazione dei principi sul Valore Netto Contabile;</w:t>
      </w:r>
    </w:p>
    <w:p w:rsidR="00D91967" w:rsidRDefault="00D91967" w:rsidP="00D91967">
      <w:pPr>
        <w:pStyle w:val="Paragrafoelenco"/>
        <w:numPr>
          <w:ilvl w:val="0"/>
          <w:numId w:val="1"/>
        </w:numPr>
        <w:autoSpaceDE w:val="0"/>
        <w:autoSpaceDN w:val="0"/>
        <w:adjustRightInd w:val="0"/>
        <w:spacing w:after="0" w:line="276" w:lineRule="auto"/>
        <w:rPr>
          <w:rFonts w:ascii="Times New Roman" w:hAnsi="Times New Roman" w:cs="Times New Roman"/>
          <w:sz w:val="24"/>
          <w:szCs w:val="24"/>
        </w:rPr>
      </w:pPr>
      <w:r w:rsidRPr="00D91967">
        <w:rPr>
          <w:rFonts w:ascii="Times New Roman" w:hAnsi="Times New Roman" w:cs="Times New Roman"/>
          <w:sz w:val="24"/>
          <w:szCs w:val="24"/>
        </w:rPr>
        <w:t>delle modalità di valutazione delle singole poste attive e passive dello stato patrimoniale</w:t>
      </w:r>
      <w:r>
        <w:rPr>
          <w:rFonts w:ascii="Times New Roman" w:hAnsi="Times New Roman" w:cs="Times New Roman"/>
          <w:sz w:val="24"/>
          <w:szCs w:val="24"/>
        </w:rPr>
        <w:t xml:space="preserve"> </w:t>
      </w:r>
      <w:r w:rsidRPr="00D91967">
        <w:rPr>
          <w:rFonts w:ascii="Times New Roman" w:hAnsi="Times New Roman" w:cs="Times New Roman"/>
          <w:sz w:val="24"/>
          <w:szCs w:val="24"/>
        </w:rPr>
        <w:t>iniziale e finali.</w:t>
      </w:r>
    </w:p>
    <w:p w:rsidR="00D91967" w:rsidRDefault="00D91967" w:rsidP="00D91967">
      <w:pPr>
        <w:pStyle w:val="Paragrafoelenco"/>
        <w:numPr>
          <w:ilvl w:val="0"/>
          <w:numId w:val="1"/>
        </w:numPr>
        <w:autoSpaceDE w:val="0"/>
        <w:autoSpaceDN w:val="0"/>
        <w:adjustRightInd w:val="0"/>
        <w:spacing w:after="0" w:line="276" w:lineRule="auto"/>
        <w:rPr>
          <w:rFonts w:ascii="Times New Roman" w:hAnsi="Times New Roman" w:cs="Times New Roman"/>
          <w:sz w:val="24"/>
          <w:szCs w:val="24"/>
        </w:rPr>
      </w:pPr>
      <w:r w:rsidRPr="00D91967">
        <w:rPr>
          <w:rFonts w:ascii="Times New Roman" w:hAnsi="Times New Roman" w:cs="Times New Roman"/>
          <w:sz w:val="24"/>
          <w:szCs w:val="24"/>
        </w:rPr>
        <w:t>delle componenti del patrimonio in corso di ricognizione o in attesa di perizia</w:t>
      </w:r>
    </w:p>
    <w:p w:rsidR="00D91967" w:rsidRPr="00D91967" w:rsidRDefault="00D91967" w:rsidP="00D91967">
      <w:pPr>
        <w:pStyle w:val="Paragrafoelenco"/>
        <w:autoSpaceDE w:val="0"/>
        <w:autoSpaceDN w:val="0"/>
        <w:adjustRightInd w:val="0"/>
        <w:spacing w:after="0" w:line="276" w:lineRule="auto"/>
        <w:rPr>
          <w:rFonts w:ascii="Times New Roman" w:hAnsi="Times New Roman" w:cs="Times New Roman"/>
          <w:sz w:val="24"/>
          <w:szCs w:val="24"/>
        </w:rPr>
      </w:pPr>
    </w:p>
    <w:p w:rsidR="00D91967" w:rsidRDefault="00D91967" w:rsidP="00D91967">
      <w:pPr>
        <w:autoSpaceDE w:val="0"/>
        <w:autoSpaceDN w:val="0"/>
        <w:adjustRightInd w:val="0"/>
        <w:spacing w:after="0" w:line="276" w:lineRule="auto"/>
        <w:jc w:val="both"/>
        <w:rPr>
          <w:rFonts w:ascii="Times New Roman,Bold" w:hAnsi="Times New Roman,Bold" w:cs="Times New Roman,Bold"/>
          <w:b/>
          <w:bCs/>
          <w:sz w:val="24"/>
          <w:szCs w:val="24"/>
        </w:rPr>
      </w:pPr>
      <w:r>
        <w:rPr>
          <w:rFonts w:ascii="Times New Roman,Bold" w:hAnsi="Times New Roman,Bold" w:cs="Times New Roman,Bold"/>
          <w:b/>
          <w:bCs/>
          <w:sz w:val="24"/>
          <w:szCs w:val="24"/>
        </w:rPr>
        <w:t>9.3 Il primo stato patrimoniale: criteri di valutazione</w:t>
      </w:r>
    </w:p>
    <w:p w:rsidR="00D91967" w:rsidRDefault="00D91967" w:rsidP="00D91967">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Al fine della predisposizione del primo Stato Patrimoniale gli enti si attengono ai seguenti criteri:</w:t>
      </w:r>
    </w:p>
    <w:p w:rsidR="00D91967" w:rsidRDefault="00D91967" w:rsidP="00D91967">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ATTIVO</w:t>
      </w:r>
    </w:p>
    <w:p w:rsidR="00D91967" w:rsidRDefault="00D91967" w:rsidP="00D91967">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a) Patrimonio immobiliare e terreni di proprietà: è iscritto al costo di acquisto, comprendente anche i costi accessori, ovvero, se non disponibile, al valore catastale. Successivamente occorre determinare il fondo ammortamento cumulato nel tempo, tenendo conto del momento iniziale in cui il cespite ha iniziato ad essere utilizzato dall’ente e della vita utile media per la specifica tipologia di bene. Gli enti che, all’entrata in vigore della contabilità economico patrimoniale armonizzata, applicavano altri coefficienti di ammortamento, adottano i coefficienti armonizzati a decorrere da tale data.</w:t>
      </w:r>
    </w:p>
    <w:p w:rsidR="00D91967" w:rsidRDefault="00D91967" w:rsidP="00D91967">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Per quanto riguarda il patrimonio immobiliare se il bene immobile risulta essere completamente ammortizzato il fondo di ammortamento sarà pari al valore dello stesso.</w:t>
      </w:r>
    </w:p>
    <w:p w:rsidR="00D91967" w:rsidRDefault="00D91967" w:rsidP="00D91967">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Se il bene non risulta interamente ammortizzato, e per il suo acquisto sono stati ricevuti contributi da terzi, va iscritta la residua quota di contributi nella voce “Ratei e risconti passivi e contributi agli investimenti”, al fine di coprire nel tempo gli ammortamenti residui.</w:t>
      </w:r>
    </w:p>
    <w:p w:rsidR="00D91967" w:rsidRDefault="00D91967" w:rsidP="00D91967">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Ai fini della valutazione del patrimonio immobiliare si richiama il principio applicato della contabilità economico patrimoniale n. 4.15, il quale prevede che “ai fini dell’ammortamento i terreni e gli edifici soprastanti sono contabilizzati separatamente anche se acquisiti congiuntamente”, in quanto i terreni non sono oggetto di ammortamento. Nei casi in cui negli atti di provenienza degli edifici (Rogiti o atti di trasferimento con indicazione del valore peritale) il valore dei terreni non risulti indicato in modo separato e distinto da quello dell’edificio soprastante, si applica il parametro forfettario del 20% al valore indiviso di acquisizione, mutuando la disciplina prevista dall’art. 36 comma 7 del DL luglio 2006, n 223 convertito con modificazioni dalla L. 4 agosto 2006 n 248, successivamente modificato dall’ art. 2 comma 18 del DL 3 ottobre 2006 n 262, convertito con modificazioni dalla L. 24 novembre 2006 n 286: “Ai fini del calcolo delle quote di ammortamento deducibili il costo complessivo dei fabbricati strumentali è assunto al netto del costo delle aree occupate dalla costruzione e di quelle che ne costituiscono pertinenza. Il costo da attribuire alle predette aree, ove non autonomamente acquistate in precedenza, è quantificato in misura pari al maggior valore tra quello esposto in bilancio nell'anno di acquisto e quello corrispondente al 20 per cento e, per i fabbricati industriali, al 30 per cento del costo complessivo stesso. Per fabbricati industriali si intendono quelli destinati alla produzione o trasformazione di beni”.</w:t>
      </w:r>
    </w:p>
    <w:p w:rsidR="00D91967" w:rsidRDefault="00D91967"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Nei casi in cui non è disponibile il costo storico, il valore catastale è costituito da quello ottenuto applicando all'ammontare delle rendite risultanti in catasto, vigenti al 1° gennaio dell'anno di imposizione, rivalutate del 5 per cento ai sensi dell'articolo 3, comma 48, della legge 23 dicembre 1996, n. 662, i seguenti moltiplicatori: a. 160 per i fabbricati classificati nel gruppo catastale A e nelle categorie catastali C/2, C/6 e C/7, con esclusione della categoria catastale A/10; b. 140 per i </w:t>
      </w:r>
      <w:r>
        <w:rPr>
          <w:rFonts w:ascii="Times New Roman" w:hAnsi="Times New Roman" w:cs="Times New Roman"/>
          <w:sz w:val="24"/>
          <w:szCs w:val="24"/>
        </w:rPr>
        <w:lastRenderedPageBreak/>
        <w:t>fabbricati classificati nel gruppo catastale B e nelle categorie catastali C/3, C/4 e C/5; b-bis. 80 per i fabbricati classificati nella categoria catastale D/5; c. 80 per i fabbricati classificati nella categoria catastale A/10; d. 60 per i fabbricati classificati nel gruppo catastale D, ad eccezione dei fabbricati classificati nella categoria catastale D/5; tale moltiplicatore è elevato a 65 a decorrere dal 1° gennaio 2013; e. 55 per i fabbricati classificati nella categoria catastale C/1.</w:t>
      </w:r>
    </w:p>
    <w:p w:rsidR="00D91967" w:rsidRDefault="00D91967"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Per i terreni agricoli, il valore è costituito da quello ottenuto applicando all'ammontare del reddito dominicale risultante in catasto, vigente al 1° gennaio dell'anno d’imposizione, rivalutato del 25 per cento ai sensi dell'articolo 3, comma 51, della legge 23 dicembre 1996, n.</w:t>
      </w:r>
    </w:p>
    <w:p w:rsidR="00D91967" w:rsidRDefault="00D91967"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662, un moltiplicatore pari a 130.</w:t>
      </w:r>
    </w:p>
    <w:p w:rsidR="00D91967" w:rsidRDefault="00D91967"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b) Immobili e terreni di terzi a disposizione: sono iscritti al costo di acquisto, comprendente anche i costi accessori, ovvero, se non disponibile, al valore catastale. Il relativo valore va imputato nei conti d’ordine, salvo i casi in cui l’ente non abbia diritti reali perpetui su tali beni; in quest’ultimo caso anche il costo sostenuto per l’acquisizione del diritto reale su tali immobili va imputato tra le immobilizzazioni;</w:t>
      </w:r>
    </w:p>
    <w:p w:rsidR="00D91967" w:rsidRDefault="00D91967"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c) Beni mobili e patrimonio librario: è necessario procedere ad una ricognizione inventariale. Con riferimento ai beni mobili ammortizzabili occorre determinare il fondo ammortamento cumulato nel tempo, tenendo conto del momento iniziale in cui il cespite ha iniziato ad essere utilizzato nell’ente e della vita utile media per la specifica tipologia di bene. Se il bene non risulta interamente ammortizzato, e per il suo acquisto sono stati ricevuti contributi da terzi, va iscritta la residua quota di contributi nella voce “Ratei e risconti passivi e contributi agli investimenti”, al fine di coprire nel tempo gli ammortamenti residui.</w:t>
      </w:r>
    </w:p>
    <w:p w:rsidR="00D91967" w:rsidRDefault="00D91967"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In sede di determinazione del primo Stato Patrimoniale non devono essere ricompresi nella ricognizione i beni già interamente ammortizzati.</w:t>
      </w:r>
    </w:p>
    <w:p w:rsidR="00D91967" w:rsidRDefault="00D91967"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d) Contributi in conto capitale: eventuali contributi in conto capitale ricevuti per il finanziamento delle immobilizzazioni vanno inseriti nella voce “Ratei e risconti passivi e contributi agli investimenti” di stato patrimoniale (solo per la parte a copertura del residuo valore da ammortizzare del cespite);</w:t>
      </w:r>
    </w:p>
    <w:p w:rsidR="00D91967" w:rsidRDefault="00D91967"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e) Immobilizzazioni finanziarie:</w:t>
      </w:r>
    </w:p>
    <w:p w:rsidR="00D91967" w:rsidRDefault="00D91967"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a. sono iscritte al valore di acquisizione, corretto di eventuali perdite durevoli di valore.</w:t>
      </w:r>
    </w:p>
    <w:p w:rsidR="00D91967" w:rsidRDefault="00D91967"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Le partecipazioni di controllo sono valutate con il metodo del patrimonio netto.</w:t>
      </w:r>
    </w:p>
    <w:p w:rsidR="00D91967" w:rsidRDefault="00D91967"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b. I crediti finanziari: al valore nominale.</w:t>
      </w:r>
    </w:p>
    <w:p w:rsidR="00D91967" w:rsidRDefault="00D91967"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c. I derivati da ammortamento sono iscritti al valore nominale delle risorse che l’</w:t>
      </w:r>
      <w:r w:rsidR="00F81DAB">
        <w:rPr>
          <w:rFonts w:ascii="Times New Roman" w:hAnsi="Times New Roman" w:cs="Times New Roman"/>
          <w:sz w:val="24"/>
          <w:szCs w:val="24"/>
        </w:rPr>
        <w:t xml:space="preserve">ente </w:t>
      </w:r>
      <w:r>
        <w:rPr>
          <w:rFonts w:ascii="Times New Roman" w:hAnsi="Times New Roman" w:cs="Times New Roman"/>
          <w:sz w:val="24"/>
          <w:szCs w:val="24"/>
        </w:rPr>
        <w:t>ha il diritto di ricevere a seguito della sottoscr</w:t>
      </w:r>
      <w:r w:rsidR="00F81DAB">
        <w:rPr>
          <w:rFonts w:ascii="Times New Roman" w:hAnsi="Times New Roman" w:cs="Times New Roman"/>
          <w:sz w:val="24"/>
          <w:szCs w:val="24"/>
        </w:rPr>
        <w:t xml:space="preserve">izione del derivato, al fine di </w:t>
      </w:r>
      <w:r>
        <w:rPr>
          <w:rFonts w:ascii="Times New Roman" w:hAnsi="Times New Roman" w:cs="Times New Roman"/>
          <w:sz w:val="24"/>
          <w:szCs w:val="24"/>
        </w:rPr>
        <w:t>estinguere, a scadenza, la passività sottostante, rettifica</w:t>
      </w:r>
      <w:r w:rsidR="00F81DAB">
        <w:rPr>
          <w:rFonts w:ascii="Times New Roman" w:hAnsi="Times New Roman" w:cs="Times New Roman"/>
          <w:sz w:val="24"/>
          <w:szCs w:val="24"/>
        </w:rPr>
        <w:t xml:space="preserve">to del debito residuo alla data </w:t>
      </w:r>
      <w:r>
        <w:rPr>
          <w:rFonts w:ascii="Times New Roman" w:hAnsi="Times New Roman" w:cs="Times New Roman"/>
          <w:sz w:val="24"/>
          <w:szCs w:val="24"/>
        </w:rPr>
        <w:t>del primo stato patrimoniale a carico dell’ente, generato dall’</w:t>
      </w:r>
      <w:r w:rsidR="00F81DAB">
        <w:rPr>
          <w:rFonts w:ascii="Times New Roman" w:hAnsi="Times New Roman" w:cs="Times New Roman"/>
          <w:sz w:val="24"/>
          <w:szCs w:val="24"/>
        </w:rPr>
        <w:t xml:space="preserve">obbligo di effettuare </w:t>
      </w:r>
      <w:r>
        <w:rPr>
          <w:rFonts w:ascii="Times New Roman" w:hAnsi="Times New Roman" w:cs="Times New Roman"/>
          <w:sz w:val="24"/>
          <w:szCs w:val="24"/>
        </w:rPr>
        <w:t>versamenti periodici al fine di costituire le risorse che</w:t>
      </w:r>
      <w:r w:rsidR="00F81DAB">
        <w:rPr>
          <w:rFonts w:ascii="Times New Roman" w:hAnsi="Times New Roman" w:cs="Times New Roman"/>
          <w:sz w:val="24"/>
          <w:szCs w:val="24"/>
        </w:rPr>
        <w:t xml:space="preserve">, a scadenza, saranno acquisite </w:t>
      </w:r>
      <w:r>
        <w:rPr>
          <w:rFonts w:ascii="Times New Roman" w:hAnsi="Times New Roman" w:cs="Times New Roman"/>
          <w:sz w:val="24"/>
          <w:szCs w:val="24"/>
        </w:rPr>
        <w:t>per l’estinzione della passività sottostante.</w:t>
      </w:r>
    </w:p>
    <w:p w:rsidR="00D91967" w:rsidRDefault="00D91967"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I derivati in essere riguardanti flussi di solo interess</w:t>
      </w:r>
      <w:r w:rsidR="00F81DAB">
        <w:rPr>
          <w:rFonts w:ascii="Times New Roman" w:hAnsi="Times New Roman" w:cs="Times New Roman"/>
          <w:sz w:val="24"/>
          <w:szCs w:val="24"/>
        </w:rPr>
        <w:t xml:space="preserve">e non sono iscritti nello stato </w:t>
      </w:r>
      <w:r>
        <w:rPr>
          <w:rFonts w:ascii="Times New Roman" w:hAnsi="Times New Roman" w:cs="Times New Roman"/>
          <w:sz w:val="24"/>
          <w:szCs w:val="24"/>
        </w:rPr>
        <w:t>patrimoniale iniziale.</w:t>
      </w:r>
    </w:p>
    <w:p w:rsidR="00D91967" w:rsidRDefault="00D91967"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f) Disponibilità liquide: importi giacenti sui conti bancari, di tesoreria statale e postali dell’</w:t>
      </w:r>
      <w:r w:rsidR="00F81DAB">
        <w:rPr>
          <w:rFonts w:ascii="Times New Roman" w:hAnsi="Times New Roman" w:cs="Times New Roman"/>
          <w:sz w:val="24"/>
          <w:szCs w:val="24"/>
        </w:rPr>
        <w:t xml:space="preserve">ente, </w:t>
      </w:r>
      <w:r>
        <w:rPr>
          <w:rFonts w:ascii="Times New Roman" w:hAnsi="Times New Roman" w:cs="Times New Roman"/>
          <w:sz w:val="24"/>
          <w:szCs w:val="24"/>
        </w:rPr>
        <w:t>nonché assegni, denaro e valori bollati;</w:t>
      </w:r>
    </w:p>
    <w:p w:rsidR="00F81DAB" w:rsidRDefault="00D91967"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g) Crediti: preliminare è la verifica della loro effettiva sussisten</w:t>
      </w:r>
      <w:r w:rsidR="00F81DAB">
        <w:rPr>
          <w:rFonts w:ascii="Times New Roman" w:hAnsi="Times New Roman" w:cs="Times New Roman"/>
          <w:sz w:val="24"/>
          <w:szCs w:val="24"/>
        </w:rPr>
        <w:t xml:space="preserve">za a seguito del </w:t>
      </w:r>
      <w:proofErr w:type="spellStart"/>
      <w:r w:rsidR="00F81DAB">
        <w:rPr>
          <w:rFonts w:ascii="Times New Roman" w:hAnsi="Times New Roman" w:cs="Times New Roman"/>
          <w:sz w:val="24"/>
          <w:szCs w:val="24"/>
        </w:rPr>
        <w:t>riaccertamento</w:t>
      </w:r>
      <w:proofErr w:type="spellEnd"/>
      <w:r w:rsidR="00F81DAB">
        <w:rPr>
          <w:rFonts w:ascii="Times New Roman" w:hAnsi="Times New Roman" w:cs="Times New Roman"/>
          <w:sz w:val="24"/>
          <w:szCs w:val="24"/>
        </w:rPr>
        <w:t xml:space="preserve"> </w:t>
      </w:r>
      <w:r>
        <w:rPr>
          <w:rFonts w:ascii="Times New Roman" w:hAnsi="Times New Roman" w:cs="Times New Roman"/>
          <w:sz w:val="24"/>
          <w:szCs w:val="24"/>
        </w:rPr>
        <w:t>straordinario dei residui previsto dall’articolo 3, comma 7, del p</w:t>
      </w:r>
      <w:r w:rsidR="00F81DAB">
        <w:rPr>
          <w:rFonts w:ascii="Times New Roman" w:hAnsi="Times New Roman" w:cs="Times New Roman"/>
          <w:sz w:val="24"/>
          <w:szCs w:val="24"/>
        </w:rPr>
        <w:t xml:space="preserve">resente decreto. I crediti sono </w:t>
      </w:r>
      <w:r>
        <w:rPr>
          <w:rFonts w:ascii="Times New Roman" w:hAnsi="Times New Roman" w:cs="Times New Roman"/>
          <w:sz w:val="24"/>
          <w:szCs w:val="24"/>
        </w:rPr>
        <w:t>valutati al netto del fondo svalutazione crediti e corrispondono all’importo dei residui attivi e a</w:t>
      </w:r>
      <w:r w:rsidR="00F81DAB">
        <w:rPr>
          <w:rFonts w:ascii="Times New Roman" w:hAnsi="Times New Roman" w:cs="Times New Roman"/>
          <w:sz w:val="24"/>
          <w:szCs w:val="24"/>
        </w:rPr>
        <w:t xml:space="preserve"> quello degli eventuali crediti stralciati dalle scritture finanziarie e registrati solo nelle scrittura patrimoniali.</w:t>
      </w:r>
    </w:p>
    <w:p w:rsidR="00F81DAB" w:rsidRDefault="00F81DAB" w:rsidP="00F81DAB">
      <w:pPr>
        <w:autoSpaceDE w:val="0"/>
        <w:autoSpaceDN w:val="0"/>
        <w:adjustRightInd w:val="0"/>
        <w:spacing w:after="0" w:line="240" w:lineRule="auto"/>
        <w:rPr>
          <w:rFonts w:ascii="Times New Roman" w:hAnsi="Times New Roman" w:cs="Times New Roman"/>
          <w:sz w:val="24"/>
          <w:szCs w:val="24"/>
        </w:rPr>
      </w:pPr>
    </w:p>
    <w:p w:rsidR="00F81DAB" w:rsidRDefault="00F81DAB"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PASSIVO</w:t>
      </w:r>
    </w:p>
    <w:p w:rsidR="00F81DAB" w:rsidRDefault="00F81DAB"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h) debiti di funzionamento: preliminare è la verifica della loro effettiva sussistenza a seguito del </w:t>
      </w:r>
      <w:proofErr w:type="spellStart"/>
      <w:r>
        <w:rPr>
          <w:rFonts w:ascii="Times New Roman" w:hAnsi="Times New Roman" w:cs="Times New Roman"/>
          <w:sz w:val="24"/>
          <w:szCs w:val="24"/>
        </w:rPr>
        <w:t>riaccertamento</w:t>
      </w:r>
      <w:proofErr w:type="spellEnd"/>
      <w:r>
        <w:rPr>
          <w:rFonts w:ascii="Times New Roman" w:hAnsi="Times New Roman" w:cs="Times New Roman"/>
          <w:sz w:val="24"/>
          <w:szCs w:val="24"/>
        </w:rPr>
        <w:t xml:space="preserve"> straordinario dei residui previsto dall’articolo 3, comma 7, del presente decreto.</w:t>
      </w:r>
    </w:p>
    <w:p w:rsidR="00F81DAB" w:rsidRDefault="00F81DAB"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I debiti corrispondono all’importo dei residui passivi, compresi quelli perenti (l’istituto della perenzione riguarda solo le regioni e, con l’entrata in vigore del D.LGS. 118/2011, riguarda solo i residui perenti alla data dal del 31 dicembre 2014). La riassegnazione dei residui perenti nella contabilità finanziaria non è oggetto di rilevazione nella contabilità </w:t>
      </w:r>
      <w:proofErr w:type="spellStart"/>
      <w:r>
        <w:rPr>
          <w:rFonts w:ascii="Times New Roman" w:hAnsi="Times New Roman" w:cs="Times New Roman"/>
          <w:sz w:val="24"/>
          <w:szCs w:val="24"/>
        </w:rPr>
        <w:t>economicopatrimoniale</w:t>
      </w:r>
      <w:proofErr w:type="spellEnd"/>
      <w:r>
        <w:rPr>
          <w:rFonts w:ascii="Times New Roman" w:hAnsi="Times New Roman" w:cs="Times New Roman"/>
          <w:sz w:val="24"/>
          <w:szCs w:val="24"/>
        </w:rPr>
        <w:t>.</w:t>
      </w:r>
    </w:p>
    <w:p w:rsidR="00F81DAB" w:rsidRDefault="00F81DAB"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i) Debiti finanziari: derivano da finanziamenti contratti e incassati non rimborsati. A regime sono rilevati sulla base degli impegni assunti per rimborso prestiti, compresi quelli imputati agli esercizi successivi o degli impegni automatici disposti a seguito di operazioni di finanziamento dell’ente (tale importo deve corrispondere alla differenza tra le entrate accertate per operazioni di finanziamento e l’importo non ancora rimborsato). All’avvio della contabilità economico patrimoniale è necessario effettuare una ricognizione dei debiti non ancora rimborsati. I debiti finanziari sono distinti in debiti a breve termine o a medio-lungo termine, secondo le modalità indicate nel glossario del piano dei conti integrato I debiti finanziari, alla voce “Debiti verso banche e tesoriere” comprendono anche le anticipazioni di tesoreria in essere al 1° gennaio dell’anno successivo, rinviate contabilmente all’esercizio successivo.</w:t>
      </w:r>
    </w:p>
    <w:p w:rsidR="00F81DAB" w:rsidRDefault="00F81DAB"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La ricognizione dei debiti comprende il valore dell’importo dell’up front ricevuto in passato a seguito della sottoscrizione di contratti derivati ancora in essere, al netto dei rimborsi effettuati, anche se, in occasione del regolamento dei flussi attivi e passivi periodici, non è stata evidenziata la natura di rimborso prestiti;</w:t>
      </w:r>
    </w:p>
    <w:p w:rsidR="00F81DAB" w:rsidRDefault="00F81DAB"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j) Fondo per il trattamento di quiescenza: riguarda l’ammontare del trattamento di fine rapporto maturato nei confronti del personale per il quale l’ente è tenuto a provvedere direttamente al pagamento del trattamento di fine rapporto, alla data di riferimento dello stato patrimoniale di apertura. Nel caso in cui non sia possibile ricostruire tale importo alla data di avvio della contabilità economico-patrimoniale, l’onere riguardante il TFR erogato nel corso dell’esercizio è interamente considerato di competenza economica dell’esercizio.</w:t>
      </w:r>
    </w:p>
    <w:p w:rsidR="00F81DAB" w:rsidRDefault="00F81DAB"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k) Altri debiti, costituiti dai debiti tributari che derivano dai debiti tributari degli esercizi precedenti, comprensivi di quelli emersi dalle dichiarazioni fiscali dell’ente dell’esercizio precedente a quello di introduzione della contabilità economico patrimoniale, dai debiti di natura previdenziale e dai debiti rilevati sulla base degli impegni assunti per i titoli 3, e 7 delle spese compresi quelli Imputati agli esercizi successivi.</w:t>
      </w:r>
    </w:p>
    <w:p w:rsidR="00F81DAB" w:rsidRDefault="00F81DAB" w:rsidP="00F81DAB">
      <w:pPr>
        <w:autoSpaceDE w:val="0"/>
        <w:autoSpaceDN w:val="0"/>
        <w:adjustRightInd w:val="0"/>
        <w:spacing w:after="0" w:line="276" w:lineRule="auto"/>
        <w:jc w:val="both"/>
        <w:rPr>
          <w:rFonts w:ascii="Times New Roman" w:hAnsi="Times New Roman" w:cs="Times New Roman"/>
          <w:sz w:val="24"/>
          <w:szCs w:val="24"/>
        </w:rPr>
      </w:pPr>
    </w:p>
    <w:p w:rsidR="00F81DAB" w:rsidRDefault="00F81DAB"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PATRIMONIO NETTO</w:t>
      </w:r>
    </w:p>
    <w:p w:rsidR="00F81DAB" w:rsidRDefault="00F81DAB"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l) Fondo di dotazione dell’ente: costituita dalla differenza, se positiva, tra attivo e passivo, al netto della voce “Netto da beni demaniali”, al netto del valore attribuito alle riserve:</w:t>
      </w:r>
    </w:p>
    <w:p w:rsidR="00F81DAB" w:rsidRDefault="00F81DAB"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2) Alle riserve è attributo un valore pari a quello risultante ai corrispondenti valori dello stato patrimoniale dell’esercizio precedente, a meno di differenze derivanti dall’applicazione dei nuovi principi.</w:t>
      </w:r>
    </w:p>
    <w:p w:rsidR="00F81DAB" w:rsidRDefault="00F81DAB"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3) Nello stato patrimoniale iniziale, la voce AIII “Risultato economico dell'esercizio” non è valorizzata.</w:t>
      </w:r>
    </w:p>
    <w:p w:rsidR="00F81DAB" w:rsidRDefault="00F81DAB"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Dunque la </w:t>
      </w:r>
      <w:r>
        <w:rPr>
          <w:rFonts w:ascii="Times New Roman,Bold" w:hAnsi="Times New Roman,Bold" w:cs="Times New Roman,Bold"/>
          <w:b/>
          <w:bCs/>
          <w:sz w:val="24"/>
          <w:szCs w:val="24"/>
        </w:rPr>
        <w:t>prima attività</w:t>
      </w:r>
      <w:r>
        <w:rPr>
          <w:rFonts w:ascii="Times New Roman" w:hAnsi="Times New Roman" w:cs="Times New Roman"/>
          <w:sz w:val="24"/>
          <w:szCs w:val="24"/>
        </w:rPr>
        <w:t>, oggetto della presente relazione, è la riclassificazione delle voci dello stato patrimoniale. Tale attività è “</w:t>
      </w:r>
      <w:r>
        <w:rPr>
          <w:rFonts w:ascii="Times New Roman,Bold" w:hAnsi="Times New Roman,Bold" w:cs="Times New Roman,Bold"/>
          <w:b/>
          <w:bCs/>
          <w:sz w:val="24"/>
          <w:szCs w:val="24"/>
        </w:rPr>
        <w:t>solo formale</w:t>
      </w:r>
      <w:r>
        <w:rPr>
          <w:rFonts w:ascii="Times New Roman" w:hAnsi="Times New Roman" w:cs="Times New Roman"/>
          <w:sz w:val="24"/>
          <w:szCs w:val="24"/>
        </w:rPr>
        <w:t>” nel senso che i valori “</w:t>
      </w:r>
      <w:r>
        <w:rPr>
          <w:rFonts w:ascii="Times New Roman,Bold" w:hAnsi="Times New Roman,Bold" w:cs="Times New Roman,Bold"/>
          <w:b/>
          <w:bCs/>
          <w:sz w:val="24"/>
          <w:szCs w:val="24"/>
        </w:rPr>
        <w:t>in gioco</w:t>
      </w:r>
      <w:r>
        <w:rPr>
          <w:rFonts w:ascii="Times New Roman" w:hAnsi="Times New Roman" w:cs="Times New Roman"/>
          <w:sz w:val="24"/>
          <w:szCs w:val="24"/>
        </w:rPr>
        <w:t xml:space="preserve">” vengono </w:t>
      </w:r>
      <w:r>
        <w:rPr>
          <w:rFonts w:ascii="Times New Roman" w:hAnsi="Times New Roman" w:cs="Times New Roman"/>
          <w:sz w:val="24"/>
          <w:szCs w:val="24"/>
        </w:rPr>
        <w:lastRenderedPageBreak/>
        <w:t>“</w:t>
      </w:r>
      <w:r>
        <w:rPr>
          <w:rFonts w:ascii="Times New Roman,Bold" w:hAnsi="Times New Roman,Bold" w:cs="Times New Roman,Bold"/>
          <w:b/>
          <w:bCs/>
          <w:sz w:val="24"/>
          <w:szCs w:val="24"/>
        </w:rPr>
        <w:t>riposizionati</w:t>
      </w:r>
      <w:r>
        <w:rPr>
          <w:rFonts w:ascii="Times New Roman" w:hAnsi="Times New Roman" w:cs="Times New Roman"/>
          <w:sz w:val="24"/>
          <w:szCs w:val="24"/>
        </w:rPr>
        <w:t>” nel nuovo modello di “</w:t>
      </w:r>
      <w:r>
        <w:rPr>
          <w:rFonts w:ascii="Times New Roman,Bold" w:hAnsi="Times New Roman,Bold" w:cs="Times New Roman,Bold"/>
          <w:b/>
          <w:bCs/>
          <w:sz w:val="24"/>
          <w:szCs w:val="24"/>
        </w:rPr>
        <w:t>stato patrimoniale</w:t>
      </w:r>
      <w:r>
        <w:rPr>
          <w:rFonts w:ascii="Times New Roman" w:hAnsi="Times New Roman" w:cs="Times New Roman"/>
          <w:sz w:val="24"/>
          <w:szCs w:val="24"/>
        </w:rPr>
        <w:t>” applicando la matrice di correlazione</w:t>
      </w:r>
    </w:p>
    <w:p w:rsidR="00F81DAB" w:rsidRDefault="00F81DAB"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ARCONET all’importo dei residui attivi e passivi laddove c’è una corrispondenza con i crediti e debiti contabilizzati nel conto del patrimonio.</w:t>
      </w:r>
    </w:p>
    <w:p w:rsidR="00F81DAB" w:rsidRDefault="00F81DAB"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Per gli altri casi si è fatto riferimento sia ai criteri di compilazione del conto del patrimonio sia ai precetti contenuti nel principio contabile applicato 4.3.</w:t>
      </w:r>
    </w:p>
    <w:p w:rsidR="00B71EAD" w:rsidRDefault="00B71EAD" w:rsidP="00F81D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Di seguito si allega il prospetto contenente i due schemi contabili di stato patrimoniale.</w:t>
      </w:r>
    </w:p>
    <w:sectPr w:rsidR="00B71EA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Times New Roman,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A6271B"/>
    <w:multiLevelType w:val="hybridMultilevel"/>
    <w:tmpl w:val="B15A7C88"/>
    <w:lvl w:ilvl="0" w:tplc="BDF60E4A">
      <w:start w:val="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967"/>
    <w:rsid w:val="00353544"/>
    <w:rsid w:val="00672A61"/>
    <w:rsid w:val="009D523A"/>
    <w:rsid w:val="00A43C12"/>
    <w:rsid w:val="00B71EAD"/>
    <w:rsid w:val="00D537F4"/>
    <w:rsid w:val="00D83AB5"/>
    <w:rsid w:val="00D91967"/>
    <w:rsid w:val="00F81D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91967"/>
    <w:pPr>
      <w:ind w:left="720"/>
      <w:contextualSpacing/>
    </w:pPr>
  </w:style>
  <w:style w:type="paragraph" w:styleId="Testofumetto">
    <w:name w:val="Balloon Text"/>
    <w:basedOn w:val="Normale"/>
    <w:link w:val="TestofumettoCarattere"/>
    <w:uiPriority w:val="99"/>
    <w:semiHidden/>
    <w:unhideWhenUsed/>
    <w:rsid w:val="00A43C1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3C1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91967"/>
    <w:pPr>
      <w:ind w:left="720"/>
      <w:contextualSpacing/>
    </w:pPr>
  </w:style>
  <w:style w:type="paragraph" w:styleId="Testofumetto">
    <w:name w:val="Balloon Text"/>
    <w:basedOn w:val="Normale"/>
    <w:link w:val="TestofumettoCarattere"/>
    <w:uiPriority w:val="99"/>
    <w:semiHidden/>
    <w:unhideWhenUsed/>
    <w:rsid w:val="00A43C1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3C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2312</Words>
  <Characters>13183</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15465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Volpi</dc:creator>
  <cp:lastModifiedBy>Tacca</cp:lastModifiedBy>
  <cp:revision>2</cp:revision>
  <cp:lastPrinted>2018-04-20T10:19:00Z</cp:lastPrinted>
  <dcterms:created xsi:type="dcterms:W3CDTF">2018-05-02T08:59:00Z</dcterms:created>
  <dcterms:modified xsi:type="dcterms:W3CDTF">2018-05-02T08:59:00Z</dcterms:modified>
</cp:coreProperties>
</file>